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023F" w14:textId="39E5AD42" w:rsidR="00D21BE5" w:rsidRDefault="00D21BE5"/>
    <w:tbl>
      <w:tblPr>
        <w:tblW w:w="14087" w:type="dxa"/>
        <w:shd w:val="clear" w:color="auto" w:fill="FFFFFF"/>
        <w:tblCellMar>
          <w:top w:w="15" w:type="dxa"/>
          <w:left w:w="15" w:type="dxa"/>
          <w:bottom w:w="15" w:type="dxa"/>
          <w:right w:w="15" w:type="dxa"/>
        </w:tblCellMar>
        <w:tblLook w:val="04A0" w:firstRow="1" w:lastRow="0" w:firstColumn="1" w:lastColumn="0" w:noHBand="0" w:noVBand="1"/>
      </w:tblPr>
      <w:tblGrid>
        <w:gridCol w:w="3452"/>
        <w:gridCol w:w="10635"/>
      </w:tblGrid>
      <w:tr w:rsidR="00D21BE5" w:rsidRPr="00D21BE5" w14:paraId="4E03D77E" w14:textId="77777777" w:rsidTr="00D21BE5">
        <w:tc>
          <w:tcPr>
            <w:tcW w:w="0" w:type="auto"/>
            <w:gridSpan w:val="2"/>
            <w:shd w:val="clear" w:color="auto" w:fill="FFFFFF"/>
            <w:hideMark/>
          </w:tcPr>
          <w:p w14:paraId="1EF8E8B3" w14:textId="77777777" w:rsidR="00D21BE5" w:rsidRPr="00D21BE5" w:rsidRDefault="00D21BE5" w:rsidP="00D21BE5">
            <w:pPr>
              <w:rPr>
                <w:rFonts w:ascii="Open Sans" w:eastAsia="Times New Roman" w:hAnsi="Open Sans" w:cs="Open Sans"/>
                <w:b/>
                <w:bCs/>
                <w:color w:val="212529"/>
                <w:sz w:val="27"/>
                <w:szCs w:val="27"/>
                <w:lang w:eastAsia="fr-FR"/>
              </w:rPr>
            </w:pPr>
            <w:r w:rsidRPr="00D21BE5">
              <w:rPr>
                <w:rFonts w:ascii="Open Sans" w:eastAsia="Times New Roman" w:hAnsi="Open Sans" w:cs="Open Sans"/>
                <w:b/>
                <w:bCs/>
                <w:color w:val="212529"/>
                <w:sz w:val="27"/>
                <w:szCs w:val="27"/>
                <w:lang w:eastAsia="fr-FR"/>
              </w:rPr>
              <w:t>1. Information et données</w:t>
            </w:r>
          </w:p>
        </w:tc>
      </w:tr>
      <w:tr w:rsidR="00D21BE5" w:rsidRPr="00D21BE5" w14:paraId="21ADA474" w14:textId="77777777" w:rsidTr="00D21BE5">
        <w:tc>
          <w:tcPr>
            <w:tcW w:w="0" w:type="auto"/>
            <w:tcBorders>
              <w:top w:val="single" w:sz="6" w:space="0" w:color="DEE2E6"/>
              <w:right w:val="single" w:sz="6" w:space="0" w:color="DEE2E6"/>
            </w:tcBorders>
            <w:shd w:val="clear" w:color="auto" w:fill="FFFFFF"/>
            <w:hideMark/>
          </w:tcPr>
          <w:p w14:paraId="046EED05"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1.1. Mener une recherche et une veille d'information</w:t>
            </w:r>
          </w:p>
        </w:tc>
        <w:tc>
          <w:tcPr>
            <w:tcW w:w="0" w:type="auto"/>
            <w:tcBorders>
              <w:top w:val="single" w:sz="6" w:space="0" w:color="DEE2E6"/>
              <w:right w:val="single" w:sz="6" w:space="0" w:color="DEE2E6"/>
            </w:tcBorders>
            <w:shd w:val="clear" w:color="auto" w:fill="FFFFFF"/>
            <w:hideMark/>
          </w:tcPr>
          <w:p w14:paraId="2E87900A"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Mener une recherche et une veille d'information pour répondre à un besoin d'information et se tenir au courant de l'actualité d'un sujet tout en étant en mesure de vérifier les sources et la fiabilité de l'information (avec un moteur de recherche, au sein d'un réseau social, par abonnement à des flux ou des lettres d'information, ou tout autre moyen).</w:t>
            </w:r>
          </w:p>
        </w:tc>
      </w:tr>
      <w:tr w:rsidR="00D21BE5" w:rsidRPr="00D21BE5" w14:paraId="28BA1561" w14:textId="77777777" w:rsidTr="00D21BE5">
        <w:tc>
          <w:tcPr>
            <w:tcW w:w="0" w:type="auto"/>
            <w:tcBorders>
              <w:top w:val="single" w:sz="6" w:space="0" w:color="DEE2E6"/>
              <w:right w:val="single" w:sz="6" w:space="0" w:color="DEE2E6"/>
            </w:tcBorders>
            <w:shd w:val="clear" w:color="auto" w:fill="FFFFFF"/>
            <w:hideMark/>
          </w:tcPr>
          <w:p w14:paraId="1D8AC14C"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1.2. Gérer des données</w:t>
            </w:r>
          </w:p>
        </w:tc>
        <w:tc>
          <w:tcPr>
            <w:tcW w:w="0" w:type="auto"/>
            <w:tcBorders>
              <w:top w:val="single" w:sz="6" w:space="0" w:color="DEE2E6"/>
              <w:right w:val="single" w:sz="6" w:space="0" w:color="DEE2E6"/>
            </w:tcBorders>
            <w:shd w:val="clear" w:color="auto" w:fill="FFFFFF"/>
            <w:hideMark/>
          </w:tcPr>
          <w:p w14:paraId="6F263B33"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Stocker et organiser des données pour les retrouver, les conserver et en faciliter l'accès et la gestion (avec un gestionnaire de fichiers, un espace de stockage en ligne, des classeurs, des bases de données, un système d'information…).</w:t>
            </w:r>
          </w:p>
        </w:tc>
      </w:tr>
      <w:tr w:rsidR="00D21BE5" w:rsidRPr="00D21BE5" w14:paraId="3F30049B" w14:textId="77777777" w:rsidTr="00D21BE5">
        <w:tc>
          <w:tcPr>
            <w:tcW w:w="0" w:type="auto"/>
            <w:tcBorders>
              <w:top w:val="single" w:sz="6" w:space="0" w:color="DEE2E6"/>
              <w:right w:val="single" w:sz="6" w:space="0" w:color="DEE2E6"/>
            </w:tcBorders>
            <w:shd w:val="clear" w:color="auto" w:fill="FFFFFF"/>
            <w:hideMark/>
          </w:tcPr>
          <w:p w14:paraId="05D2FBD7"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1.3. Traiter des données</w:t>
            </w:r>
          </w:p>
        </w:tc>
        <w:tc>
          <w:tcPr>
            <w:tcW w:w="0" w:type="auto"/>
            <w:tcBorders>
              <w:top w:val="single" w:sz="6" w:space="0" w:color="DEE2E6"/>
              <w:right w:val="single" w:sz="6" w:space="0" w:color="DEE2E6"/>
            </w:tcBorders>
            <w:shd w:val="clear" w:color="auto" w:fill="FFFFFF"/>
            <w:hideMark/>
          </w:tcPr>
          <w:p w14:paraId="0A14132B"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Appliquer des traitements à des données pour les analyser et les interpréter (avec un tableur, un programme, un logiciel de traitement d'enquête, une requête de calcul dans une base de données…).</w:t>
            </w:r>
          </w:p>
        </w:tc>
      </w:tr>
      <w:tr w:rsidR="00D21BE5" w:rsidRPr="00D21BE5" w14:paraId="5BA2246F" w14:textId="77777777" w:rsidTr="00D21BE5">
        <w:tc>
          <w:tcPr>
            <w:tcW w:w="0" w:type="auto"/>
            <w:gridSpan w:val="2"/>
            <w:shd w:val="clear" w:color="auto" w:fill="FFFFFF"/>
            <w:hideMark/>
          </w:tcPr>
          <w:p w14:paraId="302D79B0" w14:textId="77777777" w:rsidR="00D21BE5" w:rsidRPr="00D21BE5" w:rsidRDefault="00D21BE5" w:rsidP="00D21BE5">
            <w:pPr>
              <w:rPr>
                <w:rFonts w:ascii="Open Sans" w:eastAsia="Times New Roman" w:hAnsi="Open Sans" w:cs="Open Sans"/>
                <w:b/>
                <w:bCs/>
                <w:color w:val="212529"/>
                <w:sz w:val="27"/>
                <w:szCs w:val="27"/>
                <w:lang w:eastAsia="fr-FR"/>
              </w:rPr>
            </w:pPr>
            <w:r w:rsidRPr="00D21BE5">
              <w:rPr>
                <w:rFonts w:ascii="Open Sans" w:eastAsia="Times New Roman" w:hAnsi="Open Sans" w:cs="Open Sans"/>
                <w:b/>
                <w:bCs/>
                <w:color w:val="212529"/>
                <w:sz w:val="27"/>
                <w:szCs w:val="27"/>
                <w:lang w:eastAsia="fr-FR"/>
              </w:rPr>
              <w:t>2. Communication et collaboration</w:t>
            </w:r>
          </w:p>
        </w:tc>
      </w:tr>
      <w:tr w:rsidR="00D21BE5" w:rsidRPr="00D21BE5" w14:paraId="6FC56194" w14:textId="77777777" w:rsidTr="00D21BE5">
        <w:tc>
          <w:tcPr>
            <w:tcW w:w="0" w:type="auto"/>
            <w:tcBorders>
              <w:top w:val="single" w:sz="6" w:space="0" w:color="DEE2E6"/>
              <w:right w:val="single" w:sz="6" w:space="0" w:color="DEE2E6"/>
            </w:tcBorders>
            <w:shd w:val="clear" w:color="auto" w:fill="FFFFFF"/>
            <w:hideMark/>
          </w:tcPr>
          <w:p w14:paraId="765CABCF"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2.1. Interagir</w:t>
            </w:r>
          </w:p>
        </w:tc>
        <w:tc>
          <w:tcPr>
            <w:tcW w:w="0" w:type="auto"/>
            <w:tcBorders>
              <w:top w:val="single" w:sz="6" w:space="0" w:color="DEE2E6"/>
              <w:right w:val="single" w:sz="6" w:space="0" w:color="DEE2E6"/>
            </w:tcBorders>
            <w:shd w:val="clear" w:color="auto" w:fill="FFFFFF"/>
            <w:hideMark/>
          </w:tcPr>
          <w:p w14:paraId="5C381D35"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Interagir avec des individus et des petits groupes pour échanger dans divers contextes liés à la vie privée ou à une activité professionnelle, de façon ponctuelle et récurrente (avec une messagerie électronique, une messagerie instantanée, un système de visio-conférence…).</w:t>
            </w:r>
          </w:p>
        </w:tc>
      </w:tr>
      <w:tr w:rsidR="00D21BE5" w:rsidRPr="00D21BE5" w14:paraId="7030C44F" w14:textId="77777777" w:rsidTr="00D21BE5">
        <w:tc>
          <w:tcPr>
            <w:tcW w:w="0" w:type="auto"/>
            <w:tcBorders>
              <w:top w:val="single" w:sz="6" w:space="0" w:color="DEE2E6"/>
              <w:right w:val="single" w:sz="6" w:space="0" w:color="DEE2E6"/>
            </w:tcBorders>
            <w:shd w:val="clear" w:color="auto" w:fill="FFFFFF"/>
            <w:hideMark/>
          </w:tcPr>
          <w:p w14:paraId="023D571E"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2.2. Partager et publier</w:t>
            </w:r>
          </w:p>
        </w:tc>
        <w:tc>
          <w:tcPr>
            <w:tcW w:w="0" w:type="auto"/>
            <w:tcBorders>
              <w:top w:val="single" w:sz="6" w:space="0" w:color="DEE2E6"/>
              <w:right w:val="single" w:sz="6" w:space="0" w:color="DEE2E6"/>
            </w:tcBorders>
            <w:shd w:val="clear" w:color="auto" w:fill="FFFFFF"/>
            <w:hideMark/>
          </w:tcPr>
          <w:p w14:paraId="0643C031"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Partager et publier des informations et des contenus pour communiquer ses propres productions ou opinions, relayer celles des autres en contexte de communication publique en apportant un regard critique sur la nature du contenu (avec des plateformes de partage, des réseaux sociaux, des blogs, des espaces de forum et de commentaires, de système de gestion de contenu CMS…).</w:t>
            </w:r>
          </w:p>
        </w:tc>
      </w:tr>
      <w:tr w:rsidR="00D21BE5" w:rsidRPr="00D21BE5" w14:paraId="0369641F" w14:textId="77777777" w:rsidTr="00D21BE5">
        <w:tc>
          <w:tcPr>
            <w:tcW w:w="0" w:type="auto"/>
            <w:tcBorders>
              <w:top w:val="single" w:sz="6" w:space="0" w:color="DEE2E6"/>
              <w:right w:val="single" w:sz="6" w:space="0" w:color="DEE2E6"/>
            </w:tcBorders>
            <w:shd w:val="clear" w:color="auto" w:fill="FFFFFF"/>
            <w:hideMark/>
          </w:tcPr>
          <w:p w14:paraId="19E7F77D"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2.3. Collaborer</w:t>
            </w:r>
          </w:p>
        </w:tc>
        <w:tc>
          <w:tcPr>
            <w:tcW w:w="0" w:type="auto"/>
            <w:tcBorders>
              <w:top w:val="single" w:sz="6" w:space="0" w:color="DEE2E6"/>
              <w:right w:val="single" w:sz="6" w:space="0" w:color="DEE2E6"/>
            </w:tcBorders>
            <w:shd w:val="clear" w:color="auto" w:fill="FFFFFF"/>
            <w:hideMark/>
          </w:tcPr>
          <w:p w14:paraId="730E3738"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Collaborer dans un groupe pour réaliser un projet, co-produire des ressources, des connaissances, des données, et pour apprendre (avec des plateformes de travail collaboratif et de partage de document, des éditeurs en ligne, des fonctionnalités de suivi de modifications ou de gestion de versions…).</w:t>
            </w:r>
          </w:p>
        </w:tc>
      </w:tr>
      <w:tr w:rsidR="00D21BE5" w:rsidRPr="00D21BE5" w14:paraId="537495DA" w14:textId="77777777" w:rsidTr="00D21BE5">
        <w:tc>
          <w:tcPr>
            <w:tcW w:w="0" w:type="auto"/>
            <w:tcBorders>
              <w:top w:val="single" w:sz="6" w:space="0" w:color="DEE2E6"/>
              <w:right w:val="single" w:sz="6" w:space="0" w:color="DEE2E6"/>
            </w:tcBorders>
            <w:shd w:val="clear" w:color="auto" w:fill="FFFFFF"/>
            <w:hideMark/>
          </w:tcPr>
          <w:p w14:paraId="7D32A7A4"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2.4 S'insérer dans le monde numérique</w:t>
            </w:r>
          </w:p>
        </w:tc>
        <w:tc>
          <w:tcPr>
            <w:tcW w:w="0" w:type="auto"/>
            <w:tcBorders>
              <w:top w:val="single" w:sz="6" w:space="0" w:color="DEE2E6"/>
              <w:right w:val="single" w:sz="6" w:space="0" w:color="DEE2E6"/>
            </w:tcBorders>
            <w:shd w:val="clear" w:color="auto" w:fill="FFFFFF"/>
            <w:hideMark/>
          </w:tcPr>
          <w:p w14:paraId="1B562921"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Maîtriser les enjeux de la présence en ligne, développer des stratégies et des pratiques autonomes en respectant les règles, les droits et les valeurs qui leur sont liés, pour se positionner en tant qu'acteur social, économique et citoyen dans le monde numérique, et répondre à des objectifs (avec les réseaux sociaux et les outils permettant de développer une présence publique sur Internet, et en lien avec la vie citoyenne, la vie professionnelle, la vie privée…).</w:t>
            </w:r>
          </w:p>
        </w:tc>
      </w:tr>
      <w:tr w:rsidR="00D21BE5" w:rsidRPr="00D21BE5" w14:paraId="0226FEB1" w14:textId="77777777" w:rsidTr="00D21BE5">
        <w:tc>
          <w:tcPr>
            <w:tcW w:w="0" w:type="auto"/>
            <w:gridSpan w:val="2"/>
            <w:shd w:val="clear" w:color="auto" w:fill="FFFFFF"/>
            <w:hideMark/>
          </w:tcPr>
          <w:p w14:paraId="3AA5B53F" w14:textId="77777777" w:rsidR="00D21BE5" w:rsidRPr="00D21BE5" w:rsidRDefault="00D21BE5" w:rsidP="00D21BE5">
            <w:pPr>
              <w:rPr>
                <w:rFonts w:ascii="Open Sans" w:eastAsia="Times New Roman" w:hAnsi="Open Sans" w:cs="Open Sans"/>
                <w:b/>
                <w:bCs/>
                <w:color w:val="212529"/>
                <w:sz w:val="27"/>
                <w:szCs w:val="27"/>
                <w:lang w:eastAsia="fr-FR"/>
              </w:rPr>
            </w:pPr>
            <w:r w:rsidRPr="00D21BE5">
              <w:rPr>
                <w:rFonts w:ascii="Open Sans" w:eastAsia="Times New Roman" w:hAnsi="Open Sans" w:cs="Open Sans"/>
                <w:b/>
                <w:bCs/>
                <w:color w:val="212529"/>
                <w:sz w:val="27"/>
                <w:szCs w:val="27"/>
                <w:lang w:eastAsia="fr-FR"/>
              </w:rPr>
              <w:t>3. Création de contenus</w:t>
            </w:r>
          </w:p>
        </w:tc>
      </w:tr>
      <w:tr w:rsidR="00D21BE5" w:rsidRPr="00D21BE5" w14:paraId="068959F5" w14:textId="77777777" w:rsidTr="00D21BE5">
        <w:tc>
          <w:tcPr>
            <w:tcW w:w="0" w:type="auto"/>
            <w:tcBorders>
              <w:top w:val="single" w:sz="6" w:space="0" w:color="DEE2E6"/>
              <w:right w:val="single" w:sz="6" w:space="0" w:color="DEE2E6"/>
            </w:tcBorders>
            <w:shd w:val="clear" w:color="auto" w:fill="FFFFFF"/>
            <w:hideMark/>
          </w:tcPr>
          <w:p w14:paraId="2D0586BF"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lastRenderedPageBreak/>
              <w:t>3.1. Développer des documents textuels</w:t>
            </w:r>
          </w:p>
        </w:tc>
        <w:tc>
          <w:tcPr>
            <w:tcW w:w="0" w:type="auto"/>
            <w:tcBorders>
              <w:top w:val="single" w:sz="6" w:space="0" w:color="DEE2E6"/>
              <w:right w:val="single" w:sz="6" w:space="0" w:color="DEE2E6"/>
            </w:tcBorders>
            <w:shd w:val="clear" w:color="auto" w:fill="FFFFFF"/>
            <w:hideMark/>
          </w:tcPr>
          <w:p w14:paraId="480F1AF1"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Produire des documents à contenu majoritairement textuel pour communiquer des idées, rendre compte et valoriser ses travaux (avec des logiciels de traitement de texte, de présentation, de création de page web, de carte conceptuelle…).</w:t>
            </w:r>
          </w:p>
        </w:tc>
      </w:tr>
      <w:tr w:rsidR="00D21BE5" w:rsidRPr="00D21BE5" w14:paraId="3735E0C9" w14:textId="77777777" w:rsidTr="00D21BE5">
        <w:tc>
          <w:tcPr>
            <w:tcW w:w="0" w:type="auto"/>
            <w:tcBorders>
              <w:top w:val="single" w:sz="6" w:space="0" w:color="DEE2E6"/>
              <w:right w:val="single" w:sz="6" w:space="0" w:color="DEE2E6"/>
            </w:tcBorders>
            <w:shd w:val="clear" w:color="auto" w:fill="FFFFFF"/>
            <w:hideMark/>
          </w:tcPr>
          <w:p w14:paraId="5E4CCDA4"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3.2. Développer des documents multimédia</w:t>
            </w:r>
          </w:p>
        </w:tc>
        <w:tc>
          <w:tcPr>
            <w:tcW w:w="0" w:type="auto"/>
            <w:tcBorders>
              <w:top w:val="single" w:sz="6" w:space="0" w:color="DEE2E6"/>
              <w:right w:val="single" w:sz="6" w:space="0" w:color="DEE2E6"/>
            </w:tcBorders>
            <w:shd w:val="clear" w:color="auto" w:fill="FFFFFF"/>
            <w:hideMark/>
          </w:tcPr>
          <w:p w14:paraId="4379EAEA"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Développer des documents à contenu multimédia pour créer ses propres productions multimédia, enrichir ses créations textuelles (avec des logiciels de capture et d'édition d'image / son / vidéo / animation…).</w:t>
            </w:r>
          </w:p>
        </w:tc>
      </w:tr>
      <w:tr w:rsidR="00D21BE5" w:rsidRPr="00D21BE5" w14:paraId="5B20F331" w14:textId="77777777" w:rsidTr="00D21BE5">
        <w:tc>
          <w:tcPr>
            <w:tcW w:w="0" w:type="auto"/>
            <w:tcBorders>
              <w:top w:val="single" w:sz="6" w:space="0" w:color="DEE2E6"/>
              <w:right w:val="single" w:sz="6" w:space="0" w:color="DEE2E6"/>
            </w:tcBorders>
            <w:shd w:val="clear" w:color="auto" w:fill="FFFFFF"/>
            <w:hideMark/>
          </w:tcPr>
          <w:p w14:paraId="28FD4754"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3.3. Adapter les documents à leur finalité</w:t>
            </w:r>
          </w:p>
        </w:tc>
        <w:tc>
          <w:tcPr>
            <w:tcW w:w="0" w:type="auto"/>
            <w:tcBorders>
              <w:top w:val="single" w:sz="6" w:space="0" w:color="DEE2E6"/>
              <w:right w:val="single" w:sz="6" w:space="0" w:color="DEE2E6"/>
            </w:tcBorders>
            <w:shd w:val="clear" w:color="auto" w:fill="FFFFFF"/>
            <w:hideMark/>
          </w:tcPr>
          <w:p w14:paraId="17A61FDC"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Adapter des documents de tous types en fonction de l'usage envisagé et maîtriser l'usage des licences pour permettre, faciliter et encadrer l'utilisation dans divers contextes (mise à jour fréquente, diffusion multicanale, impression, mise en ligne, projection…) (avec les fonctionnalités des logiciels liées à la préparation d'impression, de projection, de mise en ligne, les outils de conversion de format…).</w:t>
            </w:r>
          </w:p>
        </w:tc>
      </w:tr>
      <w:tr w:rsidR="00D21BE5" w:rsidRPr="00D21BE5" w14:paraId="7137A091" w14:textId="77777777" w:rsidTr="00D21BE5">
        <w:tc>
          <w:tcPr>
            <w:tcW w:w="0" w:type="auto"/>
            <w:tcBorders>
              <w:top w:val="single" w:sz="6" w:space="0" w:color="DEE2E6"/>
              <w:right w:val="single" w:sz="6" w:space="0" w:color="DEE2E6"/>
            </w:tcBorders>
            <w:shd w:val="clear" w:color="auto" w:fill="FFFFFF"/>
            <w:hideMark/>
          </w:tcPr>
          <w:p w14:paraId="1A1E8874"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3.4. Programmer</w:t>
            </w:r>
          </w:p>
        </w:tc>
        <w:tc>
          <w:tcPr>
            <w:tcW w:w="0" w:type="auto"/>
            <w:tcBorders>
              <w:top w:val="single" w:sz="6" w:space="0" w:color="DEE2E6"/>
              <w:right w:val="single" w:sz="6" w:space="0" w:color="DEE2E6"/>
            </w:tcBorders>
            <w:shd w:val="clear" w:color="auto" w:fill="FFFFFF"/>
            <w:hideMark/>
          </w:tcPr>
          <w:p w14:paraId="206581F7"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Écrire des programmes et des algorithmes pour répondre à un besoin (automatiser une tâche répétitive, accomplir des tâches complexes ou chronophages, résoudre un problème logique…) et pour développer un contenu riche (jeu, site web…) (avec des environnements de développement informatique simples, des logiciels de planification de tâches…).</w:t>
            </w:r>
          </w:p>
        </w:tc>
      </w:tr>
      <w:tr w:rsidR="00D21BE5" w:rsidRPr="00D21BE5" w14:paraId="72D04B85" w14:textId="77777777" w:rsidTr="00D21BE5">
        <w:tc>
          <w:tcPr>
            <w:tcW w:w="0" w:type="auto"/>
            <w:gridSpan w:val="2"/>
            <w:shd w:val="clear" w:color="auto" w:fill="FFFFFF"/>
            <w:hideMark/>
          </w:tcPr>
          <w:p w14:paraId="7E17D195" w14:textId="77777777" w:rsidR="00D21BE5" w:rsidRPr="00D21BE5" w:rsidRDefault="00D21BE5" w:rsidP="00D21BE5">
            <w:pPr>
              <w:rPr>
                <w:rFonts w:ascii="Open Sans" w:eastAsia="Times New Roman" w:hAnsi="Open Sans" w:cs="Open Sans"/>
                <w:b/>
                <w:bCs/>
                <w:color w:val="212529"/>
                <w:sz w:val="27"/>
                <w:szCs w:val="27"/>
                <w:lang w:eastAsia="fr-FR"/>
              </w:rPr>
            </w:pPr>
            <w:r w:rsidRPr="00D21BE5">
              <w:rPr>
                <w:rFonts w:ascii="Open Sans" w:eastAsia="Times New Roman" w:hAnsi="Open Sans" w:cs="Open Sans"/>
                <w:b/>
                <w:bCs/>
                <w:color w:val="212529"/>
                <w:sz w:val="27"/>
                <w:szCs w:val="27"/>
                <w:lang w:eastAsia="fr-FR"/>
              </w:rPr>
              <w:t>4. Protection et sécurité</w:t>
            </w:r>
          </w:p>
        </w:tc>
      </w:tr>
      <w:tr w:rsidR="00D21BE5" w:rsidRPr="00D21BE5" w14:paraId="4B2BCF99" w14:textId="77777777" w:rsidTr="00D21BE5">
        <w:tc>
          <w:tcPr>
            <w:tcW w:w="0" w:type="auto"/>
            <w:tcBorders>
              <w:top w:val="single" w:sz="6" w:space="0" w:color="DEE2E6"/>
              <w:right w:val="single" w:sz="6" w:space="0" w:color="DEE2E6"/>
            </w:tcBorders>
            <w:shd w:val="clear" w:color="auto" w:fill="FFFFFF"/>
            <w:hideMark/>
          </w:tcPr>
          <w:p w14:paraId="3BEE1A0A"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4.1. Sécuriser l'environnement numérique</w:t>
            </w:r>
          </w:p>
        </w:tc>
        <w:tc>
          <w:tcPr>
            <w:tcW w:w="0" w:type="auto"/>
            <w:tcBorders>
              <w:top w:val="single" w:sz="6" w:space="0" w:color="DEE2E6"/>
              <w:right w:val="single" w:sz="6" w:space="0" w:color="DEE2E6"/>
            </w:tcBorders>
            <w:shd w:val="clear" w:color="auto" w:fill="FFFFFF"/>
            <w:hideMark/>
          </w:tcPr>
          <w:p w14:paraId="3869BAB0"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Sécuriser les équipements, les communications et les données pour se prémunir contre les attaques, pièges, désagréments et incidents susceptibles de nuire au bon fonctionnement des matériels, logiciels, sites internet, et de compromettre les transactions et les données (avec des logiciels de protection, la maîtrise de bonnes pratiques…).</w:t>
            </w:r>
          </w:p>
        </w:tc>
      </w:tr>
      <w:tr w:rsidR="00D21BE5" w:rsidRPr="00D21BE5" w14:paraId="7674A8D3" w14:textId="77777777" w:rsidTr="00D21BE5">
        <w:tc>
          <w:tcPr>
            <w:tcW w:w="0" w:type="auto"/>
            <w:tcBorders>
              <w:top w:val="single" w:sz="6" w:space="0" w:color="DEE2E6"/>
              <w:right w:val="single" w:sz="6" w:space="0" w:color="DEE2E6"/>
            </w:tcBorders>
            <w:shd w:val="clear" w:color="auto" w:fill="FFFFFF"/>
            <w:hideMark/>
          </w:tcPr>
          <w:p w14:paraId="6AC7FC5E"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4.2. Protéger les données personnelles et la vie privée</w:t>
            </w:r>
          </w:p>
        </w:tc>
        <w:tc>
          <w:tcPr>
            <w:tcW w:w="0" w:type="auto"/>
            <w:tcBorders>
              <w:top w:val="single" w:sz="6" w:space="0" w:color="DEE2E6"/>
              <w:right w:val="single" w:sz="6" w:space="0" w:color="DEE2E6"/>
            </w:tcBorders>
            <w:shd w:val="clear" w:color="auto" w:fill="FFFFFF"/>
            <w:hideMark/>
          </w:tcPr>
          <w:p w14:paraId="15298F8C"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Maîtriser ses traces et gérer les données personnelles pour protéger sa vie privée et celle des autres, et adopter une pratique éclairée (avec le paramétrage des paramètres de confidentialité, la surveillance régulière de ses traces…).</w:t>
            </w:r>
          </w:p>
        </w:tc>
      </w:tr>
      <w:tr w:rsidR="00D21BE5" w:rsidRPr="00D21BE5" w14:paraId="132F149E" w14:textId="77777777" w:rsidTr="00D21BE5">
        <w:tc>
          <w:tcPr>
            <w:tcW w:w="0" w:type="auto"/>
            <w:gridSpan w:val="2"/>
            <w:shd w:val="clear" w:color="auto" w:fill="FFFFFF"/>
            <w:hideMark/>
          </w:tcPr>
          <w:p w14:paraId="747DA4FB" w14:textId="77777777" w:rsidR="00D21BE5" w:rsidRPr="00D21BE5" w:rsidRDefault="00D21BE5" w:rsidP="00D21BE5">
            <w:pPr>
              <w:rPr>
                <w:rFonts w:ascii="Open Sans" w:eastAsia="Times New Roman" w:hAnsi="Open Sans" w:cs="Open Sans"/>
                <w:b/>
                <w:bCs/>
                <w:color w:val="212529"/>
                <w:sz w:val="27"/>
                <w:szCs w:val="27"/>
                <w:lang w:eastAsia="fr-FR"/>
              </w:rPr>
            </w:pPr>
            <w:r w:rsidRPr="00D21BE5">
              <w:rPr>
                <w:rFonts w:ascii="Open Sans" w:eastAsia="Times New Roman" w:hAnsi="Open Sans" w:cs="Open Sans"/>
                <w:b/>
                <w:bCs/>
                <w:color w:val="212529"/>
                <w:sz w:val="27"/>
                <w:szCs w:val="27"/>
                <w:lang w:eastAsia="fr-FR"/>
              </w:rPr>
              <w:t>5. Environnement numérique</w:t>
            </w:r>
          </w:p>
        </w:tc>
      </w:tr>
      <w:tr w:rsidR="00D21BE5" w:rsidRPr="00D21BE5" w14:paraId="6915A68F" w14:textId="77777777" w:rsidTr="00D21BE5">
        <w:tc>
          <w:tcPr>
            <w:tcW w:w="0" w:type="auto"/>
            <w:tcBorders>
              <w:top w:val="single" w:sz="6" w:space="0" w:color="DEE2E6"/>
              <w:right w:val="single" w:sz="6" w:space="0" w:color="DEE2E6"/>
            </w:tcBorders>
            <w:shd w:val="clear" w:color="auto" w:fill="FFFFFF"/>
            <w:hideMark/>
          </w:tcPr>
          <w:p w14:paraId="1036A660"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5.1 Résoudre des problèmes techniques</w:t>
            </w:r>
          </w:p>
        </w:tc>
        <w:tc>
          <w:tcPr>
            <w:tcW w:w="0" w:type="auto"/>
            <w:tcBorders>
              <w:top w:val="single" w:sz="6" w:space="0" w:color="DEE2E6"/>
              <w:right w:val="single" w:sz="6" w:space="0" w:color="DEE2E6"/>
            </w:tcBorders>
            <w:shd w:val="clear" w:color="auto" w:fill="FFFFFF"/>
            <w:hideMark/>
          </w:tcPr>
          <w:p w14:paraId="1B997476"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Résoudre des problèmes techniques pour garantir et rétablir le bon fonctionnement d'un environnement informatique (avec les outils de configuration et de maintenance des logiciels ou des systèmes d'exploitation, et en mobilisant les ressources techniques ou humaines nécessaires…).</w:t>
            </w:r>
          </w:p>
        </w:tc>
      </w:tr>
      <w:tr w:rsidR="00D21BE5" w:rsidRPr="00D21BE5" w14:paraId="19445296" w14:textId="77777777" w:rsidTr="00D21BE5">
        <w:tc>
          <w:tcPr>
            <w:tcW w:w="0" w:type="auto"/>
            <w:tcBorders>
              <w:top w:val="single" w:sz="6" w:space="0" w:color="DEE2E6"/>
              <w:right w:val="single" w:sz="6" w:space="0" w:color="DEE2E6"/>
            </w:tcBorders>
            <w:shd w:val="clear" w:color="auto" w:fill="FFFFFF"/>
            <w:hideMark/>
          </w:tcPr>
          <w:p w14:paraId="7EA3B807"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5.2 Évoluer dans un environnement numérique</w:t>
            </w:r>
          </w:p>
        </w:tc>
        <w:tc>
          <w:tcPr>
            <w:tcW w:w="0" w:type="auto"/>
            <w:tcBorders>
              <w:top w:val="single" w:sz="6" w:space="0" w:color="DEE2E6"/>
              <w:right w:val="single" w:sz="6" w:space="0" w:color="DEE2E6"/>
            </w:tcBorders>
            <w:shd w:val="clear" w:color="auto" w:fill="FFFFFF"/>
            <w:hideMark/>
          </w:tcPr>
          <w:p w14:paraId="69D7DCF3" w14:textId="77777777" w:rsidR="00D21BE5" w:rsidRPr="00D21BE5" w:rsidRDefault="00D21BE5" w:rsidP="00D21BE5">
            <w:pPr>
              <w:rPr>
                <w:rFonts w:ascii="Open Sans" w:eastAsia="Times New Roman" w:hAnsi="Open Sans" w:cs="Open Sans"/>
                <w:color w:val="212529"/>
                <w:sz w:val="27"/>
                <w:szCs w:val="27"/>
                <w:lang w:eastAsia="fr-FR"/>
              </w:rPr>
            </w:pPr>
            <w:r w:rsidRPr="00D21BE5">
              <w:rPr>
                <w:rFonts w:ascii="Open Sans" w:eastAsia="Times New Roman" w:hAnsi="Open Sans" w:cs="Open Sans"/>
                <w:color w:val="212529"/>
                <w:sz w:val="27"/>
                <w:szCs w:val="27"/>
                <w:lang w:eastAsia="fr-FR"/>
              </w:rPr>
              <w:t>Installer, configurer et enrichir un environnement numérique (matériels, outils, services) pour disposer d'un cadre adapté aux activités menées, à leur contexte d'exercice ou à des valeurs (avec les outils de configuration des logiciels et des systèmes d'exploitation, l'installation de nouveaux logiciels ou la souscription à des services…).</w:t>
            </w:r>
          </w:p>
        </w:tc>
      </w:tr>
    </w:tbl>
    <w:p w14:paraId="3B348655" w14:textId="77777777" w:rsidR="00D21BE5" w:rsidRDefault="00D21BE5"/>
    <w:sectPr w:rsidR="00D21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E5"/>
    <w:rsid w:val="00D21BE5"/>
  </w:rsids>
  <m:mathPr>
    <m:mathFont m:val="Cambria Math"/>
    <m:brkBin m:val="before"/>
    <m:brkBinSub m:val="--"/>
    <m:smallFrac m:val="0"/>
    <m:dispDef/>
    <m:lMargin m:val="0"/>
    <m:rMargin m:val="0"/>
    <m:defJc m:val="centerGroup"/>
    <m:wrapIndent m:val="1440"/>
    <m:intLim m:val="subSup"/>
    <m:naryLim m:val="undOvr"/>
  </m:mathPr>
  <w:themeFontLang w:val="fr-DE"/>
  <w:clrSchemeMapping w:bg1="light1" w:t1="dark1" w:bg2="light2" w:t2="dark2" w:accent1="accent1" w:accent2="accent2" w:accent3="accent3" w:accent4="accent4" w:accent5="accent5" w:accent6="accent6" w:hyperlink="hyperlink" w:followedHyperlink="followedHyperlink"/>
  <w:decimalSymbol w:val=","/>
  <w:listSeparator w:val=";"/>
  <w14:docId w14:val="6C71964B"/>
  <w15:chartTrackingRefBased/>
  <w15:docId w15:val="{C5D29414-71B1-2D4D-85A3-6CA85C60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4462</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BELHEDLI</dc:creator>
  <cp:keywords/>
  <dc:description/>
  <cp:lastModifiedBy>SAMIA BELHEDLI</cp:lastModifiedBy>
  <cp:revision>1</cp:revision>
  <dcterms:created xsi:type="dcterms:W3CDTF">2023-11-21T20:31:00Z</dcterms:created>
  <dcterms:modified xsi:type="dcterms:W3CDTF">2023-11-21T20:32:00Z</dcterms:modified>
</cp:coreProperties>
</file>